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Arvidsjaur kommunfullmäktige</w:t>
      </w:r>
    </w:p>
    <w:p>
      <w:pPr>
        <w:pStyle w:val="Heading1"/>
      </w:pPr>
      <w:r>
        <w:t xml:space="preserve">Insatser för bättre skolresultat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Arvidsjaur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Arvidsjaurs grundskolor ligger under rikssnittet i meritvärde enligt Kolada 2024. Elever i utsatta områden behöver extra stöd. Fler legitimerade lärare och tidiga insatser krävs för likvärdig skola.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Arvidsjaur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 handlingsplan för höjda skolresultat med fokus på årskurs 1–6.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två extra lärartjänster tillsätts i områden med lägre resultat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universitet för kompetensutveckling inleds.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uppföljning av meritvärden redovisas för fullmäktige.</w:t>
      </w:r>
    </w:p>
    <w:p>
      <w:pPr>
        <w:spacing w:before="360"/>
      </w:pPr>
    </w:p>
    <w:p>
      <w:r>
        <w:t xml:space="preserve">Arvidsjaur,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Arvidsjaur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2026-07-13T23:33:56.494Z</dcterms:created>
  <dcterms:modified xsi:type="dcterms:W3CDTF">2026-07-13T23:33:56.494Z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